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мая 2022 г. № 443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20 мая 2022 г. № 443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расходования субсидий,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поступающих из областного бюджета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бюджету 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реализацию мероприятий по модернизации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школьных систем образования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(вне рамок софинансирования)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рамках государственной программы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Воронежской области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«Развитие образования», на 2022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49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субсидий, поступающих из областного бюджета бюджету городского округа город Воронеж на реализацию мероприятий по модернизации школьных систем образования (вне рамок софинансирования) в рамках государственной программы Воронежской области «Развитие образования», на 2022 год.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субсидий, поступающих из областного бюджета бюджету городского округа город Воронеж на реализацию мероприятий по модернизации школьных систем образования (вне рамок софинансирования) в рамках государственной программы Воронежской области «Развитие образования», в 2022 году управление образования и молодежной политики администрации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